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FF" w:rsidRPr="002E709A" w:rsidRDefault="00131EFF" w:rsidP="00131EFF">
      <w:pPr>
        <w:spacing w:after="0" w:line="240" w:lineRule="auto"/>
        <w:rPr>
          <w:rFonts w:ascii="Arial" w:hAnsi="Arial" w:cs="Arial"/>
          <w:color w:val="000000" w:themeColor="text1"/>
          <w:sz w:val="20"/>
          <w:szCs w:val="20"/>
        </w:rPr>
      </w:pPr>
      <w:r w:rsidRPr="002E709A">
        <w:rPr>
          <w:rFonts w:ascii="Arial" w:hAnsi="Arial" w:cs="Arial"/>
          <w:color w:val="000000" w:themeColor="text1"/>
          <w:sz w:val="20"/>
          <w:szCs w:val="20"/>
        </w:rPr>
        <w:t>Eén op de vijf mensen heeft regelmatig last van pijn: een gigantisch menselijk en maatschappelijk probleem. Bij chronische pijn kan vaak geen onderliggende aandoening gevonden worden, de pijn zelf is blijkbaar het probleem. Deze pijn wordt vaak niet begrepen, met als gevolg dat mensen met chronische pijn vaak weggezet worden als “psychisch labiel” of “gestoord”. Ook termen als “</w:t>
      </w:r>
      <w:proofErr w:type="spellStart"/>
      <w:r w:rsidRPr="002E709A">
        <w:rPr>
          <w:rFonts w:ascii="Arial" w:hAnsi="Arial" w:cs="Arial"/>
          <w:color w:val="000000" w:themeColor="text1"/>
          <w:sz w:val="20"/>
          <w:szCs w:val="20"/>
        </w:rPr>
        <w:t>pain</w:t>
      </w:r>
      <w:proofErr w:type="spellEnd"/>
      <w:r w:rsidRPr="002E709A">
        <w:rPr>
          <w:rFonts w:ascii="Arial" w:hAnsi="Arial" w:cs="Arial"/>
          <w:color w:val="000000" w:themeColor="text1"/>
          <w:sz w:val="20"/>
          <w:szCs w:val="20"/>
        </w:rPr>
        <w:t xml:space="preserve"> </w:t>
      </w:r>
      <w:proofErr w:type="spellStart"/>
      <w:r w:rsidRPr="002E709A">
        <w:rPr>
          <w:rFonts w:ascii="Arial" w:hAnsi="Arial" w:cs="Arial"/>
          <w:color w:val="000000" w:themeColor="text1"/>
          <w:sz w:val="20"/>
          <w:szCs w:val="20"/>
        </w:rPr>
        <w:t>prone</w:t>
      </w:r>
      <w:proofErr w:type="spellEnd"/>
      <w:r w:rsidRPr="002E709A">
        <w:rPr>
          <w:rFonts w:ascii="Arial" w:hAnsi="Arial" w:cs="Arial"/>
          <w:color w:val="000000" w:themeColor="text1"/>
          <w:sz w:val="20"/>
          <w:szCs w:val="20"/>
        </w:rPr>
        <w:t xml:space="preserve">”, “conversie”, </w:t>
      </w:r>
      <w:proofErr w:type="spellStart"/>
      <w:r w:rsidRPr="002E709A">
        <w:rPr>
          <w:rFonts w:ascii="Arial" w:hAnsi="Arial" w:cs="Arial"/>
          <w:color w:val="000000" w:themeColor="text1"/>
          <w:sz w:val="20"/>
          <w:szCs w:val="20"/>
        </w:rPr>
        <w:t>somatoform</w:t>
      </w:r>
      <w:proofErr w:type="spellEnd"/>
      <w:r w:rsidRPr="002E709A">
        <w:rPr>
          <w:rFonts w:ascii="Arial" w:hAnsi="Arial" w:cs="Arial"/>
          <w:color w:val="000000" w:themeColor="text1"/>
          <w:sz w:val="20"/>
          <w:szCs w:val="20"/>
        </w:rPr>
        <w:t xml:space="preserve"> pijnsyndroom”, simulatie en aggravatie duiken op. Mensen met onbegrepen klachten worden gestigmatiseerd. Dit heeft veel kwaad gedaan en draagt niet bij aan een serieuze oplossing.</w:t>
      </w:r>
      <w:r w:rsidRPr="002E709A">
        <w:rPr>
          <w:rFonts w:ascii="Arial" w:hAnsi="Arial" w:cs="Arial"/>
          <w:color w:val="000000" w:themeColor="text1"/>
          <w:sz w:val="20"/>
          <w:szCs w:val="20"/>
        </w:rPr>
        <w:br/>
      </w:r>
      <w:r w:rsidRPr="002E709A">
        <w:rPr>
          <w:rFonts w:ascii="Arial" w:hAnsi="Arial" w:cs="Arial"/>
          <w:color w:val="000000" w:themeColor="text1"/>
          <w:sz w:val="20"/>
          <w:szCs w:val="20"/>
        </w:rPr>
        <w:br/>
        <w:t>Gelukkig zijn de ideeën over chronische pijn de laatste decennia ingrijpend veranderd. Deze scholing geeft een overzicht van de veranderingen van denken en daarmee ook van de uiteenlopende manieren van aanpak. De nieuwe verklaringsmodellen voor chronische pijn geven hoop op een betere toekomst en kunnen gebruikt worden als basis om verantwoorde keuzes te maken, zowel voor mensen met pijn, als ook voor de hulpverlener.</w:t>
      </w:r>
    </w:p>
    <w:p w:rsidR="00131EFF" w:rsidRPr="002E709A" w:rsidRDefault="00131EFF" w:rsidP="00131EFF">
      <w:pPr>
        <w:spacing w:after="0" w:line="240" w:lineRule="auto"/>
        <w:rPr>
          <w:rFonts w:ascii="Arial" w:hAnsi="Arial" w:cs="Arial"/>
          <w:color w:val="000000" w:themeColor="text1"/>
          <w:sz w:val="20"/>
          <w:szCs w:val="20"/>
        </w:rPr>
      </w:pPr>
    </w:p>
    <w:p w:rsidR="00131EFF" w:rsidRPr="002E709A" w:rsidRDefault="00131EFF" w:rsidP="00131EFF">
      <w:pPr>
        <w:spacing w:after="0" w:line="240" w:lineRule="auto"/>
        <w:rPr>
          <w:rFonts w:ascii="Arial" w:hAnsi="Arial" w:cs="Arial"/>
          <w:color w:val="000000" w:themeColor="text1"/>
          <w:sz w:val="20"/>
          <w:szCs w:val="20"/>
        </w:rPr>
      </w:pPr>
      <w:r w:rsidRPr="002E709A">
        <w:rPr>
          <w:rFonts w:ascii="Arial" w:hAnsi="Arial" w:cs="Arial"/>
          <w:color w:val="000000" w:themeColor="text1"/>
          <w:sz w:val="20"/>
          <w:szCs w:val="20"/>
        </w:rPr>
        <w:t xml:space="preserve">Na afloop van deze cursus is de cursist in staat het fenomeen chronische pijn binnen een multidisciplinaire revalidatie-context te plaatsen. Hij/zij kent daarin de eigen rol plaatsen en zijn bijdrage in de revalidatie benoemen. </w:t>
      </w:r>
      <w:r w:rsidRPr="002E709A">
        <w:rPr>
          <w:rFonts w:ascii="Arial" w:hAnsi="Arial" w:cs="Arial"/>
          <w:color w:val="000000" w:themeColor="text1"/>
          <w:sz w:val="20"/>
          <w:szCs w:val="20"/>
        </w:rPr>
        <w:br/>
        <w:t>Specifieke leerdoelen</w:t>
      </w:r>
      <w:r w:rsidRPr="002E709A">
        <w:rPr>
          <w:rFonts w:ascii="Arial" w:hAnsi="Arial" w:cs="Arial"/>
          <w:color w:val="000000" w:themeColor="text1"/>
          <w:sz w:val="20"/>
          <w:szCs w:val="20"/>
        </w:rPr>
        <w:br/>
        <w:t xml:space="preserve">• Wat is pijn, </w:t>
      </w:r>
      <w:proofErr w:type="spellStart"/>
      <w:r w:rsidRPr="002E709A">
        <w:rPr>
          <w:rFonts w:ascii="Arial" w:hAnsi="Arial" w:cs="Arial"/>
          <w:color w:val="000000" w:themeColor="text1"/>
          <w:sz w:val="20"/>
          <w:szCs w:val="20"/>
        </w:rPr>
        <w:t>pijnzin</w:t>
      </w:r>
      <w:proofErr w:type="spellEnd"/>
      <w:r w:rsidRPr="002E709A">
        <w:rPr>
          <w:rFonts w:ascii="Arial" w:hAnsi="Arial" w:cs="Arial"/>
          <w:color w:val="000000" w:themeColor="text1"/>
          <w:sz w:val="20"/>
          <w:szCs w:val="20"/>
        </w:rPr>
        <w:t xml:space="preserve"> en chronische pijn?</w:t>
      </w:r>
      <w:r w:rsidRPr="002E709A">
        <w:rPr>
          <w:rFonts w:ascii="Arial" w:hAnsi="Arial" w:cs="Arial"/>
          <w:color w:val="000000" w:themeColor="text1"/>
          <w:sz w:val="20"/>
          <w:szCs w:val="20"/>
        </w:rPr>
        <w:br/>
        <w:t xml:space="preserve">• Kennis van </w:t>
      </w:r>
      <w:proofErr w:type="spellStart"/>
      <w:r w:rsidRPr="002E709A">
        <w:rPr>
          <w:rFonts w:ascii="Arial" w:hAnsi="Arial" w:cs="Arial"/>
          <w:color w:val="000000" w:themeColor="text1"/>
          <w:sz w:val="20"/>
          <w:szCs w:val="20"/>
        </w:rPr>
        <w:t>pijnmodulerende</w:t>
      </w:r>
      <w:proofErr w:type="spellEnd"/>
      <w:r w:rsidRPr="002E709A">
        <w:rPr>
          <w:rFonts w:ascii="Arial" w:hAnsi="Arial" w:cs="Arial"/>
          <w:color w:val="000000" w:themeColor="text1"/>
          <w:sz w:val="20"/>
          <w:szCs w:val="20"/>
        </w:rPr>
        <w:t xml:space="preserve"> systemen</w:t>
      </w:r>
      <w:r w:rsidRPr="002E709A">
        <w:rPr>
          <w:rFonts w:ascii="Arial" w:hAnsi="Arial" w:cs="Arial"/>
          <w:color w:val="000000" w:themeColor="text1"/>
          <w:sz w:val="20"/>
          <w:szCs w:val="20"/>
        </w:rPr>
        <w:br/>
        <w:t>• Inzicht in de plasticiteit van het neurale pijnsysteem</w:t>
      </w:r>
      <w:r w:rsidRPr="002E709A">
        <w:rPr>
          <w:rFonts w:ascii="Arial" w:hAnsi="Arial" w:cs="Arial"/>
          <w:color w:val="000000" w:themeColor="text1"/>
          <w:sz w:val="20"/>
          <w:szCs w:val="20"/>
        </w:rPr>
        <w:br/>
        <w:t>• Wat is een goede pijnanalyse?</w:t>
      </w:r>
      <w:r w:rsidRPr="002E709A">
        <w:rPr>
          <w:rFonts w:ascii="Arial" w:hAnsi="Arial" w:cs="Arial"/>
          <w:color w:val="000000" w:themeColor="text1"/>
          <w:sz w:val="20"/>
          <w:szCs w:val="20"/>
        </w:rPr>
        <w:br/>
        <w:t>• Inzicht in de bio-</w:t>
      </w:r>
      <w:proofErr w:type="spellStart"/>
      <w:r w:rsidRPr="002E709A">
        <w:rPr>
          <w:rFonts w:ascii="Arial" w:hAnsi="Arial" w:cs="Arial"/>
          <w:color w:val="000000" w:themeColor="text1"/>
          <w:sz w:val="20"/>
          <w:szCs w:val="20"/>
        </w:rPr>
        <w:t>psycho</w:t>
      </w:r>
      <w:proofErr w:type="spellEnd"/>
      <w:r w:rsidRPr="002E709A">
        <w:rPr>
          <w:rFonts w:ascii="Arial" w:hAnsi="Arial" w:cs="Arial"/>
          <w:color w:val="000000" w:themeColor="text1"/>
          <w:sz w:val="20"/>
          <w:szCs w:val="20"/>
        </w:rPr>
        <w:t>-sociale benadering van chronische pijn</w:t>
      </w:r>
      <w:r w:rsidRPr="002E709A">
        <w:rPr>
          <w:rFonts w:ascii="Arial" w:hAnsi="Arial" w:cs="Arial"/>
          <w:color w:val="000000" w:themeColor="text1"/>
          <w:sz w:val="20"/>
          <w:szCs w:val="20"/>
        </w:rPr>
        <w:br/>
        <w:t>• Wat zijn de praktische consequenties van de nieuwe verklaringsmodellen voor chronische pijn?</w:t>
      </w:r>
      <w:r w:rsidRPr="002E709A">
        <w:rPr>
          <w:rFonts w:ascii="Arial" w:hAnsi="Arial" w:cs="Arial"/>
          <w:color w:val="000000" w:themeColor="text1"/>
          <w:sz w:val="20"/>
          <w:szCs w:val="20"/>
        </w:rPr>
        <w:br/>
        <w:t>• Hoe interdisciplinair samenwerken om tot een goede pijnanalyse en aanpak te komen?</w:t>
      </w:r>
      <w:r w:rsidRPr="002E709A">
        <w:rPr>
          <w:rFonts w:ascii="Arial" w:hAnsi="Arial" w:cs="Arial"/>
          <w:color w:val="000000" w:themeColor="text1"/>
          <w:sz w:val="20"/>
          <w:szCs w:val="20"/>
        </w:rPr>
        <w:br/>
        <w:t>• Hoe pijn-educatie in de praktijk vormgeven?</w:t>
      </w:r>
    </w:p>
    <w:p w:rsidR="00131EFF" w:rsidRPr="002E709A" w:rsidRDefault="00131EFF" w:rsidP="00131EFF">
      <w:pPr>
        <w:spacing w:after="0" w:line="240" w:lineRule="auto"/>
        <w:rPr>
          <w:rFonts w:ascii="Arial" w:hAnsi="Arial" w:cs="Arial"/>
          <w:color w:val="000000" w:themeColor="text1"/>
          <w:sz w:val="20"/>
          <w:szCs w:val="20"/>
        </w:rPr>
      </w:pPr>
    </w:p>
    <w:p w:rsidR="00131EFF" w:rsidRDefault="00EE3FE2" w:rsidP="00131EFF">
      <w:pPr>
        <w:spacing w:after="0" w:line="240" w:lineRule="auto"/>
      </w:pPr>
      <w:r>
        <w:t>Agenda:</w:t>
      </w:r>
    </w:p>
    <w:p w:rsidR="00EE3FE2" w:rsidRDefault="00EE3FE2" w:rsidP="00131EFF">
      <w:pPr>
        <w:spacing w:after="0" w:line="240" w:lineRule="auto"/>
      </w:pPr>
    </w:p>
    <w:p w:rsidR="00EE3FE2" w:rsidRDefault="00EE3FE2" w:rsidP="00131EFF">
      <w:pPr>
        <w:spacing w:after="0" w:line="240" w:lineRule="auto"/>
      </w:pPr>
      <w:r>
        <w:t>17:30 ontvangst met een drankje en een broodje</w:t>
      </w:r>
    </w:p>
    <w:p w:rsidR="00EE3FE2" w:rsidRDefault="00EE3FE2" w:rsidP="00131EFF">
      <w:pPr>
        <w:spacing w:after="0" w:line="240" w:lineRule="auto"/>
      </w:pPr>
      <w:r>
        <w:t>18:00 welkomst woord</w:t>
      </w:r>
    </w:p>
    <w:p w:rsidR="00EE3FE2" w:rsidRDefault="00EE3FE2" w:rsidP="00131EFF">
      <w:pPr>
        <w:spacing w:after="0" w:line="240" w:lineRule="auto"/>
      </w:pPr>
      <w:r>
        <w:t>18:</w:t>
      </w:r>
      <w:r w:rsidR="00D736AD">
        <w:t>05 Lezing deel 1</w:t>
      </w:r>
    </w:p>
    <w:p w:rsidR="00D736AD" w:rsidRDefault="00D736AD" w:rsidP="00131EFF">
      <w:pPr>
        <w:spacing w:after="0" w:line="240" w:lineRule="auto"/>
      </w:pPr>
      <w:r>
        <w:t>19:30 Pauze</w:t>
      </w:r>
    </w:p>
    <w:p w:rsidR="00D736AD" w:rsidRDefault="00D736AD" w:rsidP="00131EFF">
      <w:pPr>
        <w:spacing w:after="0" w:line="240" w:lineRule="auto"/>
      </w:pPr>
      <w:r>
        <w:t>19:40 lezing deel 2</w:t>
      </w:r>
    </w:p>
    <w:p w:rsidR="00D736AD" w:rsidRDefault="00D736AD" w:rsidP="00131EFF">
      <w:pPr>
        <w:spacing w:after="0" w:line="240" w:lineRule="auto"/>
      </w:pPr>
      <w:r>
        <w:t>21:15 Sluiting / Borrel</w:t>
      </w:r>
      <w:bookmarkStart w:id="0" w:name="_GoBack"/>
      <w:bookmarkEnd w:id="0"/>
    </w:p>
    <w:sectPr w:rsidR="00D73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50"/>
    <w:rsid w:val="00131EFF"/>
    <w:rsid w:val="002E709A"/>
    <w:rsid w:val="00333F90"/>
    <w:rsid w:val="0050157B"/>
    <w:rsid w:val="00B00E50"/>
    <w:rsid w:val="00D736AD"/>
    <w:rsid w:val="00EE3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96DB"/>
  <w15:chartTrackingRefBased/>
  <w15:docId w15:val="{C1659552-D51A-42F1-82E3-5472A368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290</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Proxsys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Philippi</dc:creator>
  <cp:keywords/>
  <dc:description/>
  <cp:lastModifiedBy>Prisca Philippi</cp:lastModifiedBy>
  <cp:revision>3</cp:revision>
  <dcterms:created xsi:type="dcterms:W3CDTF">2019-12-20T12:25:00Z</dcterms:created>
  <dcterms:modified xsi:type="dcterms:W3CDTF">2019-12-20T12:52:00Z</dcterms:modified>
</cp:coreProperties>
</file>